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F9B" w:rsidRPr="00D06F9B" w:rsidRDefault="00D06F9B" w:rsidP="00D06F9B">
      <w:pPr>
        <w:shd w:val="clear" w:color="auto" w:fill="FFFFFF"/>
        <w:spacing w:before="300" w:after="150" w:line="240" w:lineRule="auto"/>
        <w:jc w:val="center"/>
        <w:outlineLvl w:val="2"/>
        <w:rPr>
          <w:rFonts w:ascii="Constantia" w:eastAsia="Times New Roman" w:hAnsi="Constantia" w:cs="Times New Roman"/>
          <w:color w:val="333333"/>
          <w:sz w:val="36"/>
          <w:szCs w:val="36"/>
          <w:lang w:eastAsia="ru-RU"/>
        </w:rPr>
      </w:pPr>
      <w:hyperlink r:id="rId4" w:history="1">
        <w:r w:rsidRPr="00D06F9B">
          <w:rPr>
            <w:rFonts w:ascii="Constantia" w:eastAsia="Times New Roman" w:hAnsi="Constantia" w:cs="Times New Roman"/>
            <w:color w:val="017E82"/>
            <w:sz w:val="38"/>
            <w:szCs w:val="38"/>
            <w:lang w:eastAsia="ru-RU"/>
          </w:rPr>
          <w:t>В Курской области к концу года будет построено 29 беспроводных точек доступа Wi-Fi к сети Интернет</w:t>
        </w:r>
      </w:hyperlink>
    </w:p>
    <w:p w:rsidR="000A288B" w:rsidRDefault="000A288B">
      <w:bookmarkStart w:id="0" w:name="_GoBack"/>
      <w:bookmarkEnd w:id="0"/>
    </w:p>
    <w:p w:rsidR="00D06F9B" w:rsidRDefault="00D06F9B" w:rsidP="00D06F9B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  <w:r>
        <w:rPr>
          <w:rFonts w:ascii="Constantia" w:hAnsi="Constantia"/>
          <w:color w:val="333333"/>
        </w:rPr>
        <w:t>В комитете цифрового развития и связи Курской области сообщили, что в регионе продолжается ликвидация цифрового неравенства.</w:t>
      </w:r>
    </w:p>
    <w:p w:rsidR="00D06F9B" w:rsidRDefault="00D06F9B" w:rsidP="00D06F9B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  <w:r>
        <w:rPr>
          <w:rFonts w:ascii="Constantia" w:hAnsi="Constantia"/>
          <w:color w:val="333333"/>
        </w:rPr>
        <w:t>Задача по устранению цифрового неравенства между жителями городского и сельского населения была поставлена в Федеральном законе «О связи», который предусматривает создание точек доступа в населенных пунктах численностью от 250 до 500 человек и предоставление населению доступа к интернету на скорости не менее 10 Мбит/с.</w:t>
      </w:r>
    </w:p>
    <w:p w:rsidR="00D06F9B" w:rsidRDefault="00D06F9B" w:rsidP="00D06F9B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  <w:r>
        <w:rPr>
          <w:rFonts w:ascii="Constantia" w:hAnsi="Constantia"/>
          <w:color w:val="333333"/>
        </w:rPr>
        <w:t>Курский филиал ПАО «Ростелеком» обеспечил доступ к сети «Интернет» по волоконно-оптическим линиям связи к 182 населенным пунктам Курской области численностью населения от 250 до 500 жителей из 237 запланированных, проложено более 2829 км новых волоконно-оптических линий связи.</w:t>
      </w:r>
    </w:p>
    <w:p w:rsidR="00D06F9B" w:rsidRDefault="00D06F9B" w:rsidP="00D06F9B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  <w:r>
        <w:rPr>
          <w:rFonts w:ascii="Constantia" w:hAnsi="Constantia"/>
          <w:color w:val="333333"/>
        </w:rPr>
        <w:t>В 2019 году планируется строительство еще 29-ти объектов предоставления Wi-Fi доступа (беспроводных точек доступа Wi-Fi) к Интернет из оставшихся 55-ти в Тимском. Щигровском, Горшеченском, Касторенском, Конышевском, Льговском и Мантуровском районах.</w:t>
      </w:r>
    </w:p>
    <w:p w:rsidR="00D06F9B" w:rsidRDefault="00D06F9B"/>
    <w:sectPr w:rsidR="00D06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F9B"/>
    <w:rsid w:val="000A288B"/>
    <w:rsid w:val="00D0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A4634-92B9-46DD-94AA-0B5978E9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06F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06F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06F9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06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9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ev.rkursk.ru/2019/07/16/%d0%b2-%d0%ba%d1%83%d1%80%d1%81%d0%ba%d0%be%d0%b9-%d0%be%d0%b1%d0%bb%d0%b0%d1%81%d1%82%d0%b8-%d0%ba-%d0%ba%d0%be%d0%bd%d1%86%d1%83-%d0%b3%d0%be%d0%b4%d0%b0-%d0%b1%d1%83%d0%b4%d0%b5%d1%82-%d0%bf%d0%b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K503-Sergei</cp:lastModifiedBy>
  <cp:revision>1</cp:revision>
  <dcterms:created xsi:type="dcterms:W3CDTF">2019-07-18T08:31:00Z</dcterms:created>
  <dcterms:modified xsi:type="dcterms:W3CDTF">2019-07-18T08:32:00Z</dcterms:modified>
</cp:coreProperties>
</file>